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E75" w:rsidRPr="00166E75" w:rsidRDefault="00166E75" w:rsidP="00166E75">
      <w:pPr>
        <w:rPr>
          <w:b/>
        </w:rPr>
      </w:pPr>
      <w:r w:rsidRPr="00166E75">
        <w:rPr>
          <w:b/>
        </w:rPr>
        <w:t>Screening for Familial Hypercholesterolemia (FH)</w:t>
      </w:r>
    </w:p>
    <w:p w:rsidR="00166E75" w:rsidRPr="00166E75" w:rsidRDefault="00166E75" w:rsidP="00166E75">
      <w:pPr>
        <w:rPr>
          <w:b/>
        </w:rPr>
      </w:pPr>
      <w:proofErr w:type="gramStart"/>
      <w:r w:rsidRPr="00166E75">
        <w:rPr>
          <w:b/>
        </w:rPr>
        <w:t>First</w:t>
      </w:r>
      <w:proofErr w:type="gramEnd"/>
      <w:r w:rsidRPr="00166E75">
        <w:rPr>
          <w:b/>
        </w:rPr>
        <w:t xml:space="preserve"> exclude secondary causes of elevated Total cholesterol or LDL- Cholesterol</w:t>
      </w:r>
    </w:p>
    <w:p w:rsidR="00166E75" w:rsidRPr="00166E75" w:rsidRDefault="00166E75" w:rsidP="00166E75">
      <w:pPr>
        <w:rPr>
          <w:b/>
        </w:rPr>
      </w:pPr>
      <w:r w:rsidRPr="00166E75">
        <w:rPr>
          <w:b/>
        </w:rPr>
        <w:t>Common secondary causes include:</w:t>
      </w:r>
    </w:p>
    <w:p w:rsidR="00166E75" w:rsidRPr="00050EFC" w:rsidRDefault="00166E75" w:rsidP="00166E75">
      <w:r w:rsidRPr="00166E75">
        <w:rPr>
          <w:b/>
        </w:rPr>
        <w:t>•</w:t>
      </w:r>
      <w:r w:rsidRPr="00166E75">
        <w:rPr>
          <w:b/>
        </w:rPr>
        <w:tab/>
      </w:r>
      <w:r w:rsidRPr="00050EFC">
        <w:t>Clinical hypothyroidism</w:t>
      </w:r>
    </w:p>
    <w:p w:rsidR="00166E75" w:rsidRPr="00050EFC" w:rsidRDefault="00166E75" w:rsidP="00166E75">
      <w:r w:rsidRPr="00050EFC">
        <w:t>•</w:t>
      </w:r>
      <w:r w:rsidRPr="00050EFC">
        <w:tab/>
        <w:t>Biliary obstruction</w:t>
      </w:r>
    </w:p>
    <w:p w:rsidR="00166E75" w:rsidRPr="00050EFC" w:rsidRDefault="00166E75" w:rsidP="00166E75">
      <w:r w:rsidRPr="00050EFC">
        <w:t>•</w:t>
      </w:r>
      <w:r w:rsidRPr="00050EFC">
        <w:tab/>
        <w:t>Nephropathy, especially nephrotic proteinuria</w:t>
      </w:r>
    </w:p>
    <w:p w:rsidR="00166E75" w:rsidRPr="00050EFC" w:rsidRDefault="00166E75" w:rsidP="00166E75">
      <w:r w:rsidRPr="00050EFC">
        <w:t>•</w:t>
      </w:r>
      <w:r w:rsidRPr="00050EFC">
        <w:tab/>
        <w:t>Poorly controlled diabetes</w:t>
      </w:r>
    </w:p>
    <w:p w:rsidR="00166E75" w:rsidRPr="00050EFC" w:rsidRDefault="00166E75" w:rsidP="00166E75">
      <w:r w:rsidRPr="00050EFC">
        <w:t>•</w:t>
      </w:r>
      <w:r w:rsidRPr="00050EFC">
        <w:tab/>
        <w:t>Pregnancy</w:t>
      </w:r>
    </w:p>
    <w:p w:rsidR="00166E75" w:rsidRPr="00050EFC" w:rsidRDefault="00166E75" w:rsidP="00166E75">
      <w:r w:rsidRPr="00050EFC">
        <w:t>•</w:t>
      </w:r>
      <w:r w:rsidRPr="00050EFC">
        <w:tab/>
        <w:t xml:space="preserve">Drugs </w:t>
      </w:r>
      <w:proofErr w:type="gramStart"/>
      <w:r w:rsidRPr="00050EFC">
        <w:t>include  Glucocorticoids</w:t>
      </w:r>
      <w:proofErr w:type="gramEnd"/>
      <w:r w:rsidRPr="00050EFC">
        <w:t>, Isotretinoin, some systemic anti-viral agents and some anti-rejection drugs (e.g. cyclosporine)</w:t>
      </w:r>
    </w:p>
    <w:p w:rsidR="00166E75" w:rsidRPr="00050EFC" w:rsidRDefault="00166E75" w:rsidP="00166E75">
      <w:r w:rsidRPr="00050EFC">
        <w:t>Even in</w:t>
      </w:r>
      <w:r w:rsidR="00D705F9">
        <w:t xml:space="preserve"> the absence of one of the </w:t>
      </w:r>
      <w:r w:rsidR="007D2578">
        <w:t xml:space="preserve">above </w:t>
      </w:r>
      <w:r w:rsidR="00D705F9">
        <w:t>secondary causes</w:t>
      </w:r>
      <w:r w:rsidRPr="00050EFC">
        <w:t xml:space="preserve">, polygenic </w:t>
      </w:r>
      <w:proofErr w:type="spellStart"/>
      <w:r w:rsidR="00D705F9" w:rsidRPr="00D731CA">
        <w:t>hypercholesterol</w:t>
      </w:r>
      <w:r w:rsidR="00D705F9">
        <w:t>a</w:t>
      </w:r>
      <w:r w:rsidR="00D705F9" w:rsidRPr="00D731CA">
        <w:t>emia</w:t>
      </w:r>
      <w:proofErr w:type="spellEnd"/>
      <w:r w:rsidRPr="00050EFC">
        <w:t xml:space="preserve"> is still the most common cause</w:t>
      </w:r>
      <w:r w:rsidR="007D2578">
        <w:t xml:space="preserve"> of </w:t>
      </w:r>
      <w:r w:rsidR="008D349C">
        <w:t>an elevated</w:t>
      </w:r>
      <w:r w:rsidR="007D2578">
        <w:t xml:space="preserve"> cholesterol</w:t>
      </w:r>
      <w:r w:rsidRPr="00050EFC">
        <w:t>, especially if cholesterol</w:t>
      </w:r>
      <w:r w:rsidR="00D705F9">
        <w:t xml:space="preserve"> is only slightly above </w:t>
      </w:r>
      <w:proofErr w:type="gramStart"/>
      <w:r w:rsidR="00D705F9">
        <w:t>8</w:t>
      </w:r>
      <w:proofErr w:type="gramEnd"/>
      <w:r w:rsidR="00D705F9">
        <w:t xml:space="preserve"> mmol/L (or LDL slightly above 6.5 mmol/L).</w:t>
      </w:r>
    </w:p>
    <w:p w:rsidR="00E147CA" w:rsidRDefault="008D349C" w:rsidP="00166E75">
      <w:r>
        <w:t>A</w:t>
      </w:r>
      <w:r w:rsidR="00D705F9">
        <w:t xml:space="preserve"> cholesterol above </w:t>
      </w:r>
      <w:proofErr w:type="gramStart"/>
      <w:r w:rsidR="00D705F9">
        <w:t>8</w:t>
      </w:r>
      <w:proofErr w:type="gramEnd"/>
      <w:r w:rsidR="00D705F9">
        <w:t xml:space="preserve"> mmol/L or </w:t>
      </w:r>
      <w:r w:rsidR="00166E75" w:rsidRPr="00050EFC">
        <w:t xml:space="preserve">LDL </w:t>
      </w:r>
      <w:r w:rsidR="00D705F9">
        <w:t>above 6.5 mmol/L</w:t>
      </w:r>
      <w:r w:rsidR="00166E75" w:rsidRPr="00050EFC">
        <w:t xml:space="preserve">, a personal or family history of early CVD, and/or clearly suggestive clinical features (especially tendon xanthomas) should prompt suspicion of FH.  Perform a </w:t>
      </w:r>
      <w:r w:rsidR="007D2578">
        <w:rPr>
          <w:b/>
        </w:rPr>
        <w:t xml:space="preserve">Dutch Lipid Clinic Network </w:t>
      </w:r>
      <w:r w:rsidR="00166E75" w:rsidRPr="00D731CA">
        <w:rPr>
          <w:b/>
        </w:rPr>
        <w:t>Score</w:t>
      </w:r>
      <w:r w:rsidR="007D2578">
        <w:rPr>
          <w:b/>
        </w:rPr>
        <w:t xml:space="preserve"> (DLCNS) </w:t>
      </w:r>
      <w:r w:rsidR="007D2578">
        <w:t xml:space="preserve">to assess the likelihood </w:t>
      </w:r>
      <w:r w:rsidR="007D2578" w:rsidRPr="00050EFC">
        <w:t>for FH</w:t>
      </w:r>
      <w:r w:rsidR="007D2578">
        <w:t>:</w:t>
      </w:r>
    </w:p>
    <w:p w:rsidR="008026BE" w:rsidRDefault="008026BE" w:rsidP="00166E75">
      <w:hyperlink r:id="rId5" w:history="1">
        <w:r w:rsidRPr="006F1DF6">
          <w:rPr>
            <w:rStyle w:val="Hyperlink"/>
          </w:rPr>
          <w:t>https://www.athero.org.au/fh/calculator/</w:t>
        </w:r>
      </w:hyperlink>
    </w:p>
    <w:p w:rsidR="00166E75" w:rsidRPr="00050EFC" w:rsidRDefault="00166E75" w:rsidP="00166E75"/>
    <w:p w:rsidR="00166E75" w:rsidRPr="00050EFC" w:rsidRDefault="00166E75" w:rsidP="00166E75">
      <w:r w:rsidRPr="00050EFC">
        <w:t xml:space="preserve">If the </w:t>
      </w:r>
      <w:r w:rsidR="007D2578" w:rsidRPr="00050EFC">
        <w:rPr>
          <w:b/>
        </w:rPr>
        <w:t>DLCNS</w:t>
      </w:r>
      <w:r w:rsidR="007D2578">
        <w:t xml:space="preserve"> </w:t>
      </w:r>
      <w:r w:rsidRPr="00050EFC">
        <w:t xml:space="preserve">score is </w:t>
      </w:r>
      <w:proofErr w:type="gramStart"/>
      <w:r w:rsidRPr="00050EFC">
        <w:t>6</w:t>
      </w:r>
      <w:proofErr w:type="gramEnd"/>
      <w:r w:rsidRPr="00050EFC">
        <w:t xml:space="preserve"> or more, contact the Chemical Pathologist at WDHB laboratory to discuss genetic testing.</w:t>
      </w:r>
    </w:p>
    <w:p w:rsidR="00166E75" w:rsidRDefault="00166E75" w:rsidP="00166E75">
      <w:r w:rsidRPr="00050EFC">
        <w:t>A causative mutation in LDLR, APOB or PSCK-9 confirms the diagnosis of FH.</w:t>
      </w:r>
    </w:p>
    <w:p w:rsidR="008D349C" w:rsidRDefault="008D349C" w:rsidP="00166E75">
      <w:r>
        <w:t>(LDLR = LDL receptor)</w:t>
      </w:r>
    </w:p>
    <w:p w:rsidR="00C059A5" w:rsidRDefault="00C059A5" w:rsidP="00166E75">
      <w:r>
        <w:t xml:space="preserve">FH testing is performed by </w:t>
      </w:r>
      <w:r w:rsidR="00953B37">
        <w:t xml:space="preserve">Canterbury Health Laboratories, for </w:t>
      </w:r>
      <w:r>
        <w:t xml:space="preserve">details </w:t>
      </w:r>
      <w:proofErr w:type="gramStart"/>
      <w:r>
        <w:t>see :</w:t>
      </w:r>
      <w:proofErr w:type="gramEnd"/>
    </w:p>
    <w:p w:rsidR="0099745F" w:rsidRDefault="00AF7F41" w:rsidP="00166E75">
      <w:hyperlink r:id="rId6" w:history="1">
        <w:r w:rsidR="0099745F" w:rsidRPr="00403DB2">
          <w:rPr>
            <w:rStyle w:val="Hyperlink"/>
          </w:rPr>
          <w:t>https://www.chl.co.nz/test/familial-hypercholesterolaemia-fh-ngs-gene-panel/</w:t>
        </w:r>
      </w:hyperlink>
    </w:p>
    <w:p w:rsidR="007D2578" w:rsidRDefault="00166E75" w:rsidP="00166E75">
      <w:r w:rsidRPr="00050EFC">
        <w:t>Genetic testing is negative in 20% of patients with FH</w:t>
      </w:r>
      <w:r w:rsidR="007D2578">
        <w:t>.</w:t>
      </w:r>
    </w:p>
    <w:p w:rsidR="0099745F" w:rsidRPr="00050EFC" w:rsidRDefault="0099745F" w:rsidP="00166E75">
      <w:r>
        <w:t>FH is a clinical diagnosis. Detection of a FH causing mutation is useful to screen close relatives for FH.</w:t>
      </w:r>
      <w:r w:rsidR="005A07F2">
        <w:br/>
      </w:r>
    </w:p>
    <w:p w:rsidR="005A07F2" w:rsidRDefault="00166E75" w:rsidP="00E022A3">
      <w:r w:rsidRPr="00050EFC">
        <w:t xml:space="preserve">Stephen du Toit, </w:t>
      </w:r>
      <w:r w:rsidR="005A07F2">
        <w:br/>
      </w:r>
      <w:r w:rsidRPr="00050EFC">
        <w:t xml:space="preserve">Chemical Pathologist </w:t>
      </w:r>
    </w:p>
    <w:p w:rsidR="00032749" w:rsidRPr="00D731CA" w:rsidRDefault="0099745F" w:rsidP="00E022A3">
      <w:r>
        <w:t>19 December 2022</w:t>
      </w:r>
    </w:p>
    <w:p w:rsidR="00032749" w:rsidRDefault="00032749" w:rsidP="00E022A3">
      <w:bookmarkStart w:id="0" w:name="_GoBack"/>
      <w:bookmarkEnd w:id="0"/>
    </w:p>
    <w:sectPr w:rsidR="00032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236D5"/>
    <w:multiLevelType w:val="hybridMultilevel"/>
    <w:tmpl w:val="7E6C6C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CE"/>
    <w:rsid w:val="00013D72"/>
    <w:rsid w:val="00032749"/>
    <w:rsid w:val="00050EFC"/>
    <w:rsid w:val="000665CE"/>
    <w:rsid w:val="00111BDF"/>
    <w:rsid w:val="00166E75"/>
    <w:rsid w:val="00182A07"/>
    <w:rsid w:val="00193B85"/>
    <w:rsid w:val="001C7D8E"/>
    <w:rsid w:val="0025124B"/>
    <w:rsid w:val="003B68D7"/>
    <w:rsid w:val="004A2957"/>
    <w:rsid w:val="004E067B"/>
    <w:rsid w:val="0050275E"/>
    <w:rsid w:val="00522E6B"/>
    <w:rsid w:val="005A07F2"/>
    <w:rsid w:val="0066607A"/>
    <w:rsid w:val="00710358"/>
    <w:rsid w:val="007157A0"/>
    <w:rsid w:val="007D2578"/>
    <w:rsid w:val="007D338E"/>
    <w:rsid w:val="008026BE"/>
    <w:rsid w:val="008167F5"/>
    <w:rsid w:val="008D349C"/>
    <w:rsid w:val="00904A56"/>
    <w:rsid w:val="00953B37"/>
    <w:rsid w:val="00960349"/>
    <w:rsid w:val="0099745F"/>
    <w:rsid w:val="00997B1B"/>
    <w:rsid w:val="00AC1064"/>
    <w:rsid w:val="00AF7F41"/>
    <w:rsid w:val="00C059A5"/>
    <w:rsid w:val="00CA3AC9"/>
    <w:rsid w:val="00D705F9"/>
    <w:rsid w:val="00D731CA"/>
    <w:rsid w:val="00D74BAC"/>
    <w:rsid w:val="00E022A3"/>
    <w:rsid w:val="00E147CA"/>
    <w:rsid w:val="00EB617C"/>
    <w:rsid w:val="00EC48D9"/>
    <w:rsid w:val="00EE3EFA"/>
    <w:rsid w:val="00F9671F"/>
    <w:rsid w:val="00FC12B2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8E8000"/>
  <w15:docId w15:val="{DFA0447A-3F5D-4464-953D-A9C0DC4F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AC9"/>
    <w:pPr>
      <w:spacing w:after="24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AC9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AC9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3AC9"/>
    <w:pPr>
      <w:keepNext/>
      <w:keepLines/>
      <w:spacing w:before="240" w:after="6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C9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AC9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A3AC9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3AC9"/>
    <w:rPr>
      <w:rFonts w:ascii="Arial" w:eastAsiaTheme="majorEastAsia" w:hAnsi="Arial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EE3EFA"/>
  </w:style>
  <w:style w:type="character" w:customStyle="1" w:styleId="BodyTextChar">
    <w:name w:val="Body Text Char"/>
    <w:basedOn w:val="DefaultParagraphFont"/>
    <w:link w:val="BodyText"/>
    <w:uiPriority w:val="99"/>
    <w:rsid w:val="00EE3EFA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CA3AC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3AC9"/>
    <w:rPr>
      <w:rFonts w:ascii="Arial" w:eastAsiaTheme="majorEastAsia" w:hAnsi="Arial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AC9"/>
    <w:pPr>
      <w:numPr>
        <w:ilvl w:val="1"/>
      </w:numPr>
      <w:spacing w:before="240" w:after="60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3AC9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C1064"/>
    <w:rPr>
      <w:rFonts w:ascii="Arial" w:hAnsi="Arial"/>
      <w:i/>
      <w:iCs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C9"/>
    <w:rPr>
      <w:rFonts w:ascii="Arial" w:eastAsiaTheme="majorEastAsia" w:hAnsi="Arial" w:cstheme="majorBidi"/>
      <w:b/>
      <w:bCs/>
      <w:iCs/>
    </w:rPr>
  </w:style>
  <w:style w:type="paragraph" w:styleId="NoSpacing">
    <w:name w:val="No Spacing"/>
    <w:uiPriority w:val="1"/>
    <w:qFormat/>
    <w:rsid w:val="00CA3AC9"/>
    <w:pPr>
      <w:spacing w:after="0" w:line="240" w:lineRule="auto"/>
    </w:pPr>
    <w:rPr>
      <w:rFonts w:ascii="Arial" w:hAnsi="Ari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1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17C"/>
    <w:rPr>
      <w:rFonts w:ascii="Arial" w:hAnsi="Arial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B617C"/>
    <w:rPr>
      <w:rFonts w:ascii="Arial" w:hAnsi="Arial"/>
      <w:smallCaps/>
      <w:color w:val="auto"/>
      <w:sz w:val="18"/>
      <w:u w:val="single"/>
    </w:rPr>
  </w:style>
  <w:style w:type="character" w:styleId="IntenseEmphasis">
    <w:name w:val="Intense Emphasis"/>
    <w:basedOn w:val="DefaultParagraphFont"/>
    <w:uiPriority w:val="21"/>
    <w:qFormat/>
    <w:rsid w:val="00EB617C"/>
    <w:rPr>
      <w:rFonts w:ascii="Arial" w:hAnsi="Arial"/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EB61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B617C"/>
    <w:rPr>
      <w:rFonts w:ascii="Arial" w:hAnsi="Arial"/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710358"/>
    <w:pPr>
      <w:ind w:left="720"/>
      <w:contextualSpacing/>
    </w:pPr>
  </w:style>
  <w:style w:type="paragraph" w:customStyle="1" w:styleId="Default">
    <w:name w:val="Default"/>
    <w:rsid w:val="000327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27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275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E7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l.co.nz/test/familial-hypercholesterolaemia-fh-ngs-gene-panel/" TargetMode="External"/><Relationship Id="rId5" Type="http://schemas.openxmlformats.org/officeDocument/2006/relationships/hyperlink" Target="https://www.athero.org.au/fh/calculat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Waikato DHB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du Toit</dc:creator>
  <cp:lastModifiedBy>Stephen Du Toit</cp:lastModifiedBy>
  <cp:revision>24</cp:revision>
  <dcterms:created xsi:type="dcterms:W3CDTF">2017-05-31T00:43:00Z</dcterms:created>
  <dcterms:modified xsi:type="dcterms:W3CDTF">2023-05-14T20:49:00Z</dcterms:modified>
</cp:coreProperties>
</file>